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D98D6" w14:textId="32E1AD8C" w:rsidR="00EF7B81" w:rsidRPr="00DF1E24" w:rsidRDefault="00EF7B81" w:rsidP="00EF7B81">
      <w:pPr>
        <w:pStyle w:val="CRCoverPage"/>
        <w:tabs>
          <w:tab w:val="left" w:pos="1985"/>
        </w:tabs>
        <w:rPr>
          <w:b/>
          <w:noProof/>
          <w:sz w:val="24"/>
        </w:rPr>
      </w:pPr>
      <w:bookmarkStart w:id="0" w:name="_Hlk177129702"/>
      <w:r w:rsidRPr="00DF1E24">
        <w:rPr>
          <w:b/>
          <w:noProof/>
          <w:sz w:val="24"/>
        </w:rPr>
        <w:t>3GPP TSG-RAN WG3 Meeting #12</w:t>
      </w:r>
      <w:r>
        <w:rPr>
          <w:b/>
          <w:noProof/>
          <w:sz w:val="24"/>
        </w:rPr>
        <w:t>7</w:t>
      </w:r>
      <w:r w:rsidR="00C5671B">
        <w:rPr>
          <w:b/>
          <w:noProof/>
          <w:sz w:val="24"/>
        </w:rPr>
        <w:t>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1E24">
        <w:rPr>
          <w:b/>
          <w:noProof/>
          <w:sz w:val="24"/>
        </w:rPr>
        <w:t>R3-2</w:t>
      </w:r>
      <w:r w:rsidR="00C5671B">
        <w:rPr>
          <w:b/>
          <w:noProof/>
          <w:sz w:val="24"/>
        </w:rPr>
        <w:t>5</w:t>
      </w:r>
      <w:r w:rsidR="00EF7C1E">
        <w:rPr>
          <w:b/>
          <w:noProof/>
          <w:sz w:val="24"/>
        </w:rPr>
        <w:t>1738</w:t>
      </w:r>
    </w:p>
    <w:p w14:paraId="1C9D45EB" w14:textId="1575CE78" w:rsidR="00EF7B81" w:rsidRDefault="00C5671B" w:rsidP="00EF7B81">
      <w:pPr>
        <w:pStyle w:val="CRCoverPage"/>
        <w:tabs>
          <w:tab w:val="left" w:pos="1985"/>
        </w:tabs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EF7B81">
        <w:rPr>
          <w:b/>
          <w:noProof/>
          <w:sz w:val="24"/>
        </w:rPr>
        <w:t xml:space="preserve">, </w:t>
      </w:r>
      <w:r w:rsidR="00EF7B81" w:rsidRPr="00D4599D">
        <w:rPr>
          <w:b/>
          <w:noProof/>
          <w:sz w:val="24"/>
        </w:rPr>
        <w:t>7</w:t>
      </w:r>
      <w:r w:rsidR="008E00ED" w:rsidRPr="008E00ED">
        <w:rPr>
          <w:b/>
          <w:noProof/>
          <w:sz w:val="24"/>
          <w:vertAlign w:val="superscript"/>
        </w:rPr>
        <w:t>th</w:t>
      </w:r>
      <w:r w:rsidR="008E00ED">
        <w:rPr>
          <w:b/>
          <w:noProof/>
          <w:sz w:val="24"/>
        </w:rPr>
        <w:t xml:space="preserve"> </w:t>
      </w:r>
      <w:r w:rsidR="00EF7B81" w:rsidRPr="00D4599D">
        <w:rPr>
          <w:b/>
          <w:noProof/>
          <w:sz w:val="24"/>
        </w:rPr>
        <w:t xml:space="preserve">– </w:t>
      </w:r>
      <w:r w:rsidR="008E00ED">
        <w:rPr>
          <w:b/>
          <w:noProof/>
          <w:sz w:val="24"/>
        </w:rPr>
        <w:t>11</w:t>
      </w:r>
      <w:r w:rsidR="008E00ED" w:rsidRPr="008E00ED">
        <w:rPr>
          <w:b/>
          <w:noProof/>
          <w:sz w:val="24"/>
          <w:vertAlign w:val="superscript"/>
        </w:rPr>
        <w:t>th</w:t>
      </w:r>
      <w:r w:rsidR="008E00ED">
        <w:rPr>
          <w:b/>
          <w:noProof/>
          <w:sz w:val="24"/>
        </w:rPr>
        <w:t xml:space="preserve"> April </w:t>
      </w:r>
      <w:r w:rsidR="00EF7B81" w:rsidRPr="00D4599D">
        <w:rPr>
          <w:b/>
          <w:noProof/>
          <w:sz w:val="24"/>
        </w:rPr>
        <w:t>2025</w:t>
      </w:r>
    </w:p>
    <w:bookmarkEnd w:id="0"/>
    <w:p w14:paraId="58900297" w14:textId="77777777" w:rsidR="00EF7B81" w:rsidRDefault="00EF7B81" w:rsidP="00EF7B81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27C039DE" w14:textId="52FB1A44" w:rsidR="00EF7B81" w:rsidRPr="00B1063A" w:rsidRDefault="00EF7B81" w:rsidP="00EF7B8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E00ED">
        <w:rPr>
          <w:rFonts w:cs="Arial"/>
          <w:b/>
          <w:bCs/>
          <w:sz w:val="24"/>
          <w:lang w:val="en-US" w:eastAsia="ja-JP"/>
        </w:rPr>
        <w:t>21.</w:t>
      </w:r>
      <w:r w:rsidR="00CE7337">
        <w:rPr>
          <w:rFonts w:cs="Arial"/>
          <w:b/>
          <w:bCs/>
          <w:sz w:val="24"/>
          <w:lang w:val="en-US" w:eastAsia="ja-JP"/>
        </w:rPr>
        <w:t>3</w:t>
      </w:r>
    </w:p>
    <w:p w14:paraId="1478B96A" w14:textId="77777777" w:rsidR="00EF7B81" w:rsidRPr="00B266B0" w:rsidRDefault="00EF7B81" w:rsidP="00EF7B8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766DE116" w14:textId="07148BFB" w:rsidR="00EF7B81" w:rsidRPr="00D4020D" w:rsidRDefault="00EF7B81" w:rsidP="00EF7B81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E00ED">
        <w:rPr>
          <w:rFonts w:ascii="Arial" w:hAnsi="Arial" w:cs="Arial"/>
          <w:b/>
          <w:bCs/>
          <w:sz w:val="24"/>
        </w:rPr>
        <w:t xml:space="preserve">(TP </w:t>
      </w:r>
      <w:r w:rsidR="00C87E8D">
        <w:rPr>
          <w:rFonts w:ascii="Arial" w:hAnsi="Arial" w:cs="Arial"/>
          <w:b/>
          <w:bCs/>
          <w:sz w:val="24"/>
        </w:rPr>
        <w:t>to BL CR for</w:t>
      </w:r>
      <w:r w:rsidR="008E00ED">
        <w:rPr>
          <w:rFonts w:ascii="Arial" w:hAnsi="Arial" w:cs="Arial"/>
          <w:b/>
          <w:bCs/>
          <w:sz w:val="24"/>
        </w:rPr>
        <w:t xml:space="preserve"> TS 38.300) </w:t>
      </w:r>
      <w:r w:rsidR="002974E9">
        <w:rPr>
          <w:rFonts w:ascii="Arial" w:hAnsi="Arial" w:cs="Arial"/>
          <w:b/>
          <w:bCs/>
          <w:sz w:val="24"/>
        </w:rPr>
        <w:t xml:space="preserve">Support for </w:t>
      </w:r>
      <w:r w:rsidR="00F06EF8">
        <w:rPr>
          <w:rFonts w:ascii="Arial" w:hAnsi="Arial" w:cs="Arial"/>
          <w:b/>
          <w:bCs/>
          <w:sz w:val="24"/>
        </w:rPr>
        <w:t>Burst Size and TTNB</w:t>
      </w:r>
      <w:r w:rsidR="007F15E6" w:rsidRPr="007F15E6">
        <w:rPr>
          <w:rFonts w:ascii="Arial" w:hAnsi="Arial" w:cs="Arial"/>
          <w:b/>
          <w:bCs/>
          <w:sz w:val="24"/>
        </w:rPr>
        <w:t xml:space="preserve"> </w:t>
      </w:r>
    </w:p>
    <w:p w14:paraId="7060F111" w14:textId="77777777" w:rsidR="00EF7B81" w:rsidRPr="00B266B0" w:rsidRDefault="00EF7B81" w:rsidP="00EF7B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20CFE8E" w14:textId="77777777" w:rsidR="00EF7B81" w:rsidRPr="006E13D1" w:rsidRDefault="00EF7B81" w:rsidP="00EF7B81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3B2FFF" w14:textId="425D8AA4" w:rsidR="00EF7B81" w:rsidRDefault="008E00ED" w:rsidP="005777AD">
      <w:r>
        <w:t xml:space="preserve">This </w:t>
      </w:r>
      <w:r w:rsidR="005777AD">
        <w:t>contribution</w:t>
      </w:r>
      <w:r>
        <w:t xml:space="preserve"> proposes </w:t>
      </w:r>
      <w:r w:rsidR="005777AD">
        <w:t xml:space="preserve">TP for </w:t>
      </w:r>
      <w:r w:rsidR="009820B3">
        <w:t>Burst Size and TTNB</w:t>
      </w:r>
      <w:r w:rsidR="005777AD">
        <w:t>.</w:t>
      </w:r>
    </w:p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15448C31" w14:textId="77777777" w:rsidR="00CA7D0C" w:rsidRPr="00C57EBD" w:rsidRDefault="00CA7D0C" w:rsidP="00CA7D0C">
      <w:pPr>
        <w:pStyle w:val="Heading3"/>
      </w:pPr>
      <w:bookmarkStart w:id="1" w:name="_Toc163030330"/>
      <w:bookmarkStart w:id="2" w:name="_Toc155991759"/>
      <w:r w:rsidRPr="00C57EBD">
        <w:t>16.15.2</w:t>
      </w:r>
      <w:r w:rsidRPr="00C57EBD">
        <w:tab/>
        <w:t>Awareness</w:t>
      </w:r>
      <w:bookmarkEnd w:id="1"/>
    </w:p>
    <w:p w14:paraId="01C2E82E" w14:textId="77777777" w:rsidR="00CA7D0C" w:rsidRPr="00C57EBD" w:rsidRDefault="00CA7D0C" w:rsidP="00CA7D0C">
      <w:r w:rsidRPr="00C57EBD">
        <w:t>XR-Awareness relies on QoS flows, PDU Sets, Data Bursts and traffic assistance information (see TS 23.501 [3]).</w:t>
      </w:r>
    </w:p>
    <w:p w14:paraId="2D51DEEA" w14:textId="77777777" w:rsidR="00CA7D0C" w:rsidRPr="00C57EBD" w:rsidRDefault="00CA7D0C" w:rsidP="00CA7D0C">
      <w:r w:rsidRPr="00C57EBD">
        <w:t xml:space="preserve">The following </w:t>
      </w:r>
      <w:r w:rsidRPr="00C57EBD">
        <w:rPr>
          <w:b/>
          <w:bCs/>
        </w:rPr>
        <w:t>PDU Set QoS Parameters</w:t>
      </w:r>
      <w:r w:rsidRPr="00C57EBD">
        <w:t xml:space="preserve"> may be provided by the SMF to the </w:t>
      </w:r>
      <w:proofErr w:type="spellStart"/>
      <w:r w:rsidRPr="00C57EBD">
        <w:t>gNB</w:t>
      </w:r>
      <w:proofErr w:type="spellEnd"/>
      <w:r w:rsidRPr="00C57EBD">
        <w:t xml:space="preserve"> as part of the QoS profile of the QoS flow, and to enable PDU Set based QoS handling at least one of them shall be provided:</w:t>
      </w:r>
    </w:p>
    <w:p w14:paraId="38E18550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When available, supersedes the PDB of the QoS flow.</w:t>
      </w:r>
    </w:p>
    <w:p w14:paraId="3EC4116C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 xml:space="preserve">PDU Set Error Rate (PSER): as defined in TS 23.501 [3], </w:t>
      </w:r>
      <w:r w:rsidRPr="00C57EBD">
        <w:rPr>
          <w:lang w:eastAsia="zh-CN"/>
        </w:rPr>
        <w:t>upper bound for a rate of non-congestion related PDU Set losses between RAN and the UE</w:t>
      </w:r>
      <w:r w:rsidRPr="00C57EBD">
        <w:t xml:space="preserve">. </w:t>
      </w:r>
      <w:r w:rsidRPr="00C57EBD">
        <w:rPr>
          <w:lang w:eastAsia="zh-CN"/>
        </w:rPr>
        <w:t xml:space="preserve">When available, </w:t>
      </w:r>
      <w:r w:rsidRPr="00C57EBD">
        <w:t>it supersedes the PER of the QoS flow.</w:t>
      </w:r>
    </w:p>
    <w:p w14:paraId="02DD4164" w14:textId="77777777" w:rsidR="00CA7D0C" w:rsidRPr="00C57EBD" w:rsidRDefault="00CA7D0C" w:rsidP="00CA7D0C">
      <w:pPr>
        <w:pStyle w:val="NO"/>
      </w:pPr>
      <w:r w:rsidRPr="00C57EBD">
        <w:t>NOTE 1:</w:t>
      </w:r>
      <w:r w:rsidRPr="00C57EBD">
        <w:rPr>
          <w:rFonts w:eastAsia="等线"/>
        </w:rPr>
        <w:tab/>
        <w:t>In this release, a PDU set is considered as successfully delivered only when all PDUs of a PDU Set are delivered successfully.</w:t>
      </w:r>
    </w:p>
    <w:p w14:paraId="7D22550B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>PDU Set Integrated Handling Information (PSIHI): indicates whether all PDUs of the PDU Set are needed for the usage of PDU Set by application layer, as defined in TS 23.501 [3].</w:t>
      </w:r>
    </w:p>
    <w:p w14:paraId="29257E49" w14:textId="77777777" w:rsidR="00CA7D0C" w:rsidRPr="00C57EBD" w:rsidRDefault="00CA7D0C" w:rsidP="00CA7D0C">
      <w:pPr>
        <w:pStyle w:val="NO"/>
        <w:rPr>
          <w:lang w:eastAsia="zh-CN"/>
        </w:rPr>
      </w:pPr>
      <w:r w:rsidRPr="00C57EBD">
        <w:rPr>
          <w:lang w:eastAsia="zh-CN"/>
        </w:rPr>
        <w:t>NOTE 2:</w:t>
      </w:r>
      <w:r w:rsidRPr="00C57EBD">
        <w:rPr>
          <w:lang w:eastAsia="zh-CN"/>
        </w:rPr>
        <w:tab/>
        <w:t>For a given QoS flow, the PDU Set QoS parameters are common for all PDU Sets but can be different for UL and DL.</w:t>
      </w:r>
    </w:p>
    <w:p w14:paraId="1E6A87AB" w14:textId="1FC6183E" w:rsidR="00CA7D0C" w:rsidRPr="00C57EBD" w:rsidRDefault="00CA7D0C" w:rsidP="00CA7D0C">
      <w:pPr>
        <w:rPr>
          <w:lang w:eastAsia="ko-KR"/>
        </w:rPr>
      </w:pPr>
      <w:r w:rsidRPr="00C57EBD">
        <w:rPr>
          <w:lang w:eastAsia="ko-KR"/>
        </w:rPr>
        <w:t xml:space="preserve">During the </w:t>
      </w:r>
      <w:proofErr w:type="spellStart"/>
      <w:r w:rsidRPr="00C57EBD">
        <w:rPr>
          <w:lang w:eastAsia="ko-KR"/>
        </w:rPr>
        <w:t>Xn</w:t>
      </w:r>
      <w:proofErr w:type="spellEnd"/>
      <w:r w:rsidRPr="00C57EBD">
        <w:rPr>
          <w:lang w:eastAsia="ko-KR"/>
        </w:rPr>
        <w:t xml:space="preserve">-handover preparation procedure, the source </w:t>
      </w:r>
      <w:proofErr w:type="spellStart"/>
      <w:r w:rsidRPr="00C57EBD">
        <w:rPr>
          <w:lang w:eastAsia="ko-KR"/>
        </w:rPr>
        <w:t>gNB</w:t>
      </w:r>
      <w:proofErr w:type="spellEnd"/>
      <w:r w:rsidRPr="00C57EBD">
        <w:rPr>
          <w:lang w:eastAsia="ko-KR"/>
        </w:rPr>
        <w:t xml:space="preserve"> sends the stored PDU Set QoS Parameters as part of the QoS profile to the target NG-RAN node.</w:t>
      </w:r>
    </w:p>
    <w:p w14:paraId="77E37A18" w14:textId="77777777" w:rsidR="00CA7D0C" w:rsidRPr="00C57EBD" w:rsidRDefault="00CA7D0C" w:rsidP="00CA7D0C">
      <w:pPr>
        <w:rPr>
          <w:rFonts w:eastAsia="等线"/>
          <w:lang w:eastAsia="zh-CN"/>
        </w:rPr>
      </w:pPr>
      <w:r w:rsidRPr="00C57EBD">
        <w:rPr>
          <w:lang w:eastAsia="ko-KR"/>
        </w:rPr>
        <w:t xml:space="preserve">In addition, the UPF can identify PDUs that belong to PDU Sets, and may indicate to the </w:t>
      </w:r>
      <w:proofErr w:type="spellStart"/>
      <w:r w:rsidRPr="00C57EBD">
        <w:rPr>
          <w:lang w:eastAsia="ko-KR"/>
        </w:rPr>
        <w:t>gNB</w:t>
      </w:r>
      <w:proofErr w:type="spellEnd"/>
      <w:r w:rsidRPr="00C57EBD">
        <w:rPr>
          <w:lang w:eastAsia="ko-KR"/>
        </w:rPr>
        <w:t xml:space="preserve"> the following </w:t>
      </w:r>
      <w:r w:rsidRPr="00C57EBD">
        <w:rPr>
          <w:b/>
          <w:bCs/>
          <w:lang w:eastAsia="ko-KR"/>
        </w:rPr>
        <w:t xml:space="preserve">PDU Set Information </w:t>
      </w:r>
      <w:r w:rsidRPr="00C57EBD">
        <w:rPr>
          <w:lang w:eastAsia="ko-KR"/>
        </w:rPr>
        <w:t>in the GTP-U header:</w:t>
      </w:r>
    </w:p>
    <w:p w14:paraId="6CCFD5CA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Set Sequence </w:t>
      </w:r>
      <w:proofErr w:type="gramStart"/>
      <w:r w:rsidRPr="00C57EBD">
        <w:rPr>
          <w:rFonts w:eastAsia="等线"/>
          <w:lang w:eastAsia="zh-CN"/>
        </w:rPr>
        <w:t>Number;</w:t>
      </w:r>
      <w:proofErr w:type="gramEnd"/>
    </w:p>
    <w:p w14:paraId="7C4995F3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Indication of End PDU of the PDU </w:t>
      </w:r>
      <w:proofErr w:type="gramStart"/>
      <w:r w:rsidRPr="00C57EBD">
        <w:rPr>
          <w:rFonts w:eastAsia="等线"/>
          <w:lang w:eastAsia="zh-CN"/>
        </w:rPr>
        <w:t>Set;</w:t>
      </w:r>
      <w:proofErr w:type="gramEnd"/>
    </w:p>
    <w:p w14:paraId="2E0A76F3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Sequence Number within a PDU </w:t>
      </w:r>
      <w:proofErr w:type="gramStart"/>
      <w:r w:rsidRPr="00C57EBD">
        <w:rPr>
          <w:rFonts w:eastAsia="等线"/>
          <w:lang w:eastAsia="zh-CN"/>
        </w:rPr>
        <w:t>Set;</w:t>
      </w:r>
      <w:proofErr w:type="gramEnd"/>
    </w:p>
    <w:p w14:paraId="628222DD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Set Size in </w:t>
      </w:r>
      <w:proofErr w:type="gramStart"/>
      <w:r w:rsidRPr="00C57EBD">
        <w:rPr>
          <w:rFonts w:eastAsia="等线"/>
          <w:lang w:eastAsia="zh-CN"/>
        </w:rPr>
        <w:t>bytes;</w:t>
      </w:r>
      <w:proofErr w:type="gramEnd"/>
    </w:p>
    <w:p w14:paraId="35806947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>PDU Set Importance (PSI), which identifies the relative importance of a PDU Set compared to other PDU Sets within the same QoS Flow.</w:t>
      </w:r>
    </w:p>
    <w:p w14:paraId="1A539F56" w14:textId="77777777" w:rsidR="00CA7D0C" w:rsidRPr="00C57EBD" w:rsidRDefault="00CA7D0C" w:rsidP="00CA7D0C">
      <w:pPr>
        <w:rPr>
          <w:lang w:eastAsia="zh-CN"/>
        </w:rPr>
      </w:pPr>
      <w:r w:rsidRPr="00C57EBD">
        <w:t xml:space="preserve">5GC may provide XR traffic assistance information to </w:t>
      </w:r>
      <w:proofErr w:type="spellStart"/>
      <w:r w:rsidRPr="00C57EBD">
        <w:t>gNB</w:t>
      </w:r>
      <w:proofErr w:type="spellEnd"/>
      <w:r w:rsidRPr="00C57EBD">
        <w:t xml:space="preserve"> through NG AP TSC Assistance Information (TSCAI) as specified in clause 5.37.8 of TS 23.501[3]</w:t>
      </w:r>
      <w:r w:rsidRPr="00C57EBD">
        <w:rPr>
          <w:lang w:eastAsia="zh-CN"/>
        </w:rPr>
        <w:t xml:space="preserve"> (for both GBR and non-GBR QoS flows):</w:t>
      </w:r>
    </w:p>
    <w:p w14:paraId="15147837" w14:textId="77777777" w:rsidR="00CA7D0C" w:rsidRPr="00C57EBD" w:rsidRDefault="00CA7D0C" w:rsidP="00CA7D0C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UL and/or DL </w:t>
      </w:r>
      <w:proofErr w:type="gramStart"/>
      <w:r w:rsidRPr="00C57EBD">
        <w:rPr>
          <w:lang w:eastAsia="zh-CN"/>
        </w:rPr>
        <w:t>Periodicity;</w:t>
      </w:r>
      <w:proofErr w:type="gramEnd"/>
    </w:p>
    <w:p w14:paraId="4D54A4E1" w14:textId="77777777" w:rsidR="00CA7D0C" w:rsidRPr="00C57EBD" w:rsidRDefault="00CA7D0C" w:rsidP="00CA7D0C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N6 Jitter Information (i.e. between UPF and Data Network) associated with the DL Periodicity.</w:t>
      </w:r>
    </w:p>
    <w:p w14:paraId="43462FD8" w14:textId="77777777" w:rsidR="00CA7D0C" w:rsidRPr="00C57EBD" w:rsidRDefault="00CA7D0C" w:rsidP="00CA7D0C">
      <w:r w:rsidRPr="00C57EBD">
        <w:t xml:space="preserve">This assistance information can be used by the </w:t>
      </w:r>
      <w:proofErr w:type="spellStart"/>
      <w:r w:rsidRPr="00C57EBD">
        <w:t>gNB</w:t>
      </w:r>
      <w:proofErr w:type="spellEnd"/>
      <w:r w:rsidRPr="00C57EBD">
        <w:t xml:space="preserve"> to configure DRX to enable better UE power saving.</w:t>
      </w:r>
    </w:p>
    <w:p w14:paraId="76A63EB8" w14:textId="77777777" w:rsidR="00CA7D0C" w:rsidRPr="00C57EBD" w:rsidRDefault="00CA7D0C" w:rsidP="00CA7D0C">
      <w:pPr>
        <w:rPr>
          <w:lang w:eastAsia="zh-CN"/>
        </w:rPr>
      </w:pPr>
      <w:r w:rsidRPr="00C57EBD">
        <w:rPr>
          <w:lang w:eastAsia="zh-CN"/>
        </w:rPr>
        <w:t>In addition, 5GC may provide the following information through NG-U as specified in clause 5.37.5.2 of TS 23.501[3]:</w:t>
      </w:r>
    </w:p>
    <w:p w14:paraId="62C0FD19" w14:textId="77777777" w:rsidR="00CA7D0C" w:rsidRDefault="00CA7D0C" w:rsidP="00CA7D0C">
      <w:pPr>
        <w:pStyle w:val="B1"/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Indication of End of </w:t>
      </w:r>
      <w:r w:rsidRPr="00C57EBD">
        <w:rPr>
          <w:rFonts w:eastAsia="等线"/>
        </w:rPr>
        <w:t>Data</w:t>
      </w:r>
      <w:r w:rsidRPr="00C57EBD">
        <w:rPr>
          <w:lang w:eastAsia="zh-CN"/>
        </w:rPr>
        <w:t xml:space="preserve"> Burst </w:t>
      </w:r>
      <w:r w:rsidRPr="00C57EBD">
        <w:t>in the GTP-U header of the last PDU in downlink.</w:t>
      </w:r>
    </w:p>
    <w:p w14:paraId="114298ED" w14:textId="77777777" w:rsidR="00374842" w:rsidRPr="00D36F9D" w:rsidRDefault="00374842" w:rsidP="00374842">
      <w:pPr>
        <w:pStyle w:val="B1"/>
        <w:rPr>
          <w:ins w:id="3" w:author="Nokia" w:date="2025-03-26T16:14:00Z" w16du:dateUtc="2025-03-26T08:14:00Z"/>
        </w:rPr>
      </w:pPr>
      <w:ins w:id="4" w:author="Nokia" w:date="2025-03-26T16:14:00Z" w16du:dateUtc="2025-03-26T08:14:00Z">
        <w:r w:rsidRPr="00D36F9D">
          <w:t>-</w:t>
        </w:r>
        <w:r w:rsidRPr="00D36F9D">
          <w:tab/>
          <w:t xml:space="preserve">Indication of </w:t>
        </w:r>
        <w:r>
          <w:t>Data Burst Size</w:t>
        </w:r>
        <w:r w:rsidRPr="00D36F9D">
          <w:t xml:space="preserve"> in the GTP-U header of the </w:t>
        </w:r>
        <w:r>
          <w:t>first</w:t>
        </w:r>
        <w:r w:rsidRPr="00D36F9D">
          <w:t xml:space="preserve"> PDU </w:t>
        </w:r>
        <w:r>
          <w:t xml:space="preserve">of the data burst </w:t>
        </w:r>
        <w:r w:rsidRPr="00D36F9D">
          <w:t>in downlink.</w:t>
        </w:r>
      </w:ins>
    </w:p>
    <w:p w14:paraId="29FF9181" w14:textId="36D81762" w:rsidR="00374842" w:rsidRPr="00C57EBD" w:rsidRDefault="00374842" w:rsidP="00CA7D0C">
      <w:pPr>
        <w:pStyle w:val="B1"/>
      </w:pPr>
      <w:ins w:id="5" w:author="Nokia" w:date="2025-03-26T16:14:00Z" w16du:dateUtc="2025-03-26T08:14:00Z">
        <w:r w:rsidRPr="00D36F9D">
          <w:t>-</w:t>
        </w:r>
        <w:r w:rsidRPr="00D36F9D">
          <w:tab/>
        </w:r>
        <w:r w:rsidRPr="00E3514B">
          <w:t xml:space="preserve">Time To Next Burst </w:t>
        </w:r>
        <w:r w:rsidRPr="00D36F9D">
          <w:t>in the GTP-U header of the PDU</w:t>
        </w:r>
        <w:r>
          <w:t xml:space="preserve"> </w:t>
        </w:r>
        <w:r w:rsidRPr="00D36F9D">
          <w:t>in downlink.</w:t>
        </w:r>
      </w:ins>
    </w:p>
    <w:p w14:paraId="20BA836C" w14:textId="397CE00B" w:rsidR="00CA7D0C" w:rsidRPr="00B05B9A" w:rsidRDefault="00CA7D0C" w:rsidP="00CA7D0C">
      <w:pPr>
        <w:rPr>
          <w:b/>
          <w:bCs/>
        </w:rPr>
      </w:pPr>
      <w:r w:rsidRPr="00C57EBD">
        <w:t xml:space="preserve">This information can be used by the </w:t>
      </w:r>
      <w:proofErr w:type="spellStart"/>
      <w:r w:rsidRPr="00C57EBD">
        <w:t>gNB</w:t>
      </w:r>
      <w:proofErr w:type="spellEnd"/>
      <w:r w:rsidRPr="00C57EBD">
        <w:t xml:space="preserve"> to push the UE back to sleep when possible.</w:t>
      </w:r>
      <w:r w:rsidR="00B05B9A">
        <w:t xml:space="preserve"> </w:t>
      </w:r>
      <w:ins w:id="6" w:author="Rapporteur" w:date="2025-03-17T15:06:00Z" w16du:dateUtc="2025-03-17T07:06:00Z">
        <w:r w:rsidR="00B05B9A" w:rsidRPr="00B05B9A">
          <w:t xml:space="preserve">During the data forwarding for handover, the source </w:t>
        </w:r>
        <w:proofErr w:type="spellStart"/>
        <w:r w:rsidR="00B05B9A" w:rsidRPr="00B05B9A">
          <w:t>gNB</w:t>
        </w:r>
        <w:proofErr w:type="spellEnd"/>
        <w:r w:rsidR="00B05B9A" w:rsidRPr="00B05B9A">
          <w:t xml:space="preserve"> provides the Indication of End of Data Burst received from the UPF to target </w:t>
        </w:r>
        <w:proofErr w:type="spellStart"/>
        <w:r w:rsidR="00B05B9A" w:rsidRPr="00B05B9A">
          <w:t>gNB</w:t>
        </w:r>
        <w:proofErr w:type="spellEnd"/>
        <w:r w:rsidR="00B05B9A" w:rsidRPr="00B05B9A">
          <w:t xml:space="preserve"> in case one or more PDUs of the data burst is forwarded to target </w:t>
        </w:r>
        <w:proofErr w:type="spellStart"/>
        <w:r w:rsidR="00B05B9A" w:rsidRPr="00B05B9A">
          <w:t>gNB</w:t>
        </w:r>
        <w:proofErr w:type="spellEnd"/>
        <w:r w:rsidR="00B05B9A" w:rsidRPr="00B05B9A">
          <w:t>.</w:t>
        </w:r>
      </w:ins>
    </w:p>
    <w:p w14:paraId="2E5089D2" w14:textId="77777777" w:rsidR="00CA7D0C" w:rsidRPr="00C57EBD" w:rsidRDefault="00CA7D0C" w:rsidP="00CA7D0C">
      <w:r w:rsidRPr="00C57EBD">
        <w:lastRenderedPageBreak/>
        <w:t xml:space="preserve">In the uplink, the UE needs to be able to identify PDU Sets and Data Bursts dynamically, including PSI. How this is done is left up to UE implementation but when </w:t>
      </w:r>
      <w:proofErr w:type="gramStart"/>
      <w:r w:rsidRPr="00C57EBD">
        <w:t>possible</w:t>
      </w:r>
      <w:proofErr w:type="gramEnd"/>
      <w:r w:rsidRPr="00C57EBD">
        <w:t xml:space="preserve"> for a QoS flow, this is indicated to the </w:t>
      </w:r>
      <w:proofErr w:type="spellStart"/>
      <w:r w:rsidRPr="00C57EBD">
        <w:t>gNB</w:t>
      </w:r>
      <w:proofErr w:type="spellEnd"/>
      <w:r w:rsidRPr="00C57EBD">
        <w:t xml:space="preserve"> via UE Assistance Information.</w:t>
      </w:r>
    </w:p>
    <w:p w14:paraId="7894C45B" w14:textId="2D61E64F" w:rsidR="00E00EAA" w:rsidRDefault="00E00EAA">
      <w:pPr>
        <w:rPr>
          <w:lang w:val="en-US" w:eastAsia="zh-CN"/>
        </w:rPr>
      </w:pPr>
    </w:p>
    <w:bookmarkEnd w:id="2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CED1E" w14:textId="77777777" w:rsidR="0066659A" w:rsidRDefault="0066659A">
      <w:pPr>
        <w:spacing w:line="240" w:lineRule="auto"/>
      </w:pPr>
      <w:r>
        <w:separator/>
      </w:r>
    </w:p>
  </w:endnote>
  <w:endnote w:type="continuationSeparator" w:id="0">
    <w:p w14:paraId="4F28F968" w14:textId="77777777" w:rsidR="0066659A" w:rsidRDefault="006665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3822C" w14:textId="77777777" w:rsidR="0066659A" w:rsidRDefault="0066659A">
      <w:pPr>
        <w:spacing w:after="0"/>
      </w:pPr>
      <w:r>
        <w:separator/>
      </w:r>
    </w:p>
  </w:footnote>
  <w:footnote w:type="continuationSeparator" w:id="0">
    <w:p w14:paraId="00A133F2" w14:textId="77777777" w:rsidR="0066659A" w:rsidRDefault="006665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02271CA"/>
    <w:multiLevelType w:val="hybridMultilevel"/>
    <w:tmpl w:val="69A2F236"/>
    <w:lvl w:ilvl="0" w:tplc="E0BAEA62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538588144">
    <w:abstractNumId w:val="0"/>
  </w:num>
  <w:num w:numId="2" w16cid:durableId="1533151041">
    <w:abstractNumId w:val="1"/>
  </w:num>
  <w:num w:numId="3" w16cid:durableId="334499567">
    <w:abstractNumId w:val="2"/>
  </w:num>
  <w:num w:numId="4" w16cid:durableId="12322337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9594D"/>
    <w:rsid w:val="000A005D"/>
    <w:rsid w:val="000A010C"/>
    <w:rsid w:val="000A6394"/>
    <w:rsid w:val="000B7FED"/>
    <w:rsid w:val="000C038A"/>
    <w:rsid w:val="000C4EB1"/>
    <w:rsid w:val="000C6598"/>
    <w:rsid w:val="000D44B3"/>
    <w:rsid w:val="000D4897"/>
    <w:rsid w:val="00113BFF"/>
    <w:rsid w:val="00145D43"/>
    <w:rsid w:val="00184547"/>
    <w:rsid w:val="00191F63"/>
    <w:rsid w:val="00192C46"/>
    <w:rsid w:val="001A08B3"/>
    <w:rsid w:val="001A7B60"/>
    <w:rsid w:val="001B3F98"/>
    <w:rsid w:val="001B52F0"/>
    <w:rsid w:val="001B7A65"/>
    <w:rsid w:val="001C6026"/>
    <w:rsid w:val="001E1C6B"/>
    <w:rsid w:val="001E2A18"/>
    <w:rsid w:val="001E41F3"/>
    <w:rsid w:val="00210C46"/>
    <w:rsid w:val="00221E05"/>
    <w:rsid w:val="0022420C"/>
    <w:rsid w:val="0026004D"/>
    <w:rsid w:val="00263949"/>
    <w:rsid w:val="002640DD"/>
    <w:rsid w:val="002714F2"/>
    <w:rsid w:val="00275D12"/>
    <w:rsid w:val="00284FEB"/>
    <w:rsid w:val="002860C4"/>
    <w:rsid w:val="002974E9"/>
    <w:rsid w:val="002B5741"/>
    <w:rsid w:val="002E472E"/>
    <w:rsid w:val="003038D6"/>
    <w:rsid w:val="00305409"/>
    <w:rsid w:val="0032406E"/>
    <w:rsid w:val="00354FBF"/>
    <w:rsid w:val="003609EF"/>
    <w:rsid w:val="0036231A"/>
    <w:rsid w:val="003739E7"/>
    <w:rsid w:val="00374842"/>
    <w:rsid w:val="00374DD4"/>
    <w:rsid w:val="00381614"/>
    <w:rsid w:val="003851D3"/>
    <w:rsid w:val="00386DC5"/>
    <w:rsid w:val="003C3AF9"/>
    <w:rsid w:val="003E1A36"/>
    <w:rsid w:val="003F2EA4"/>
    <w:rsid w:val="00410371"/>
    <w:rsid w:val="00421D8B"/>
    <w:rsid w:val="004242F1"/>
    <w:rsid w:val="0044496B"/>
    <w:rsid w:val="00471FAF"/>
    <w:rsid w:val="00482889"/>
    <w:rsid w:val="004B75B7"/>
    <w:rsid w:val="005141D9"/>
    <w:rsid w:val="0051580D"/>
    <w:rsid w:val="00547111"/>
    <w:rsid w:val="00550890"/>
    <w:rsid w:val="005777AD"/>
    <w:rsid w:val="00592D74"/>
    <w:rsid w:val="00596E58"/>
    <w:rsid w:val="005A2786"/>
    <w:rsid w:val="005A40B1"/>
    <w:rsid w:val="005D28A4"/>
    <w:rsid w:val="005D3D4B"/>
    <w:rsid w:val="005E2C44"/>
    <w:rsid w:val="005E48C5"/>
    <w:rsid w:val="00621188"/>
    <w:rsid w:val="006257ED"/>
    <w:rsid w:val="00653DE4"/>
    <w:rsid w:val="00665C47"/>
    <w:rsid w:val="0066659A"/>
    <w:rsid w:val="00694185"/>
    <w:rsid w:val="00695808"/>
    <w:rsid w:val="006B46FB"/>
    <w:rsid w:val="006C0E12"/>
    <w:rsid w:val="006E21FB"/>
    <w:rsid w:val="007367D0"/>
    <w:rsid w:val="007538E8"/>
    <w:rsid w:val="00787F06"/>
    <w:rsid w:val="00792342"/>
    <w:rsid w:val="007941CD"/>
    <w:rsid w:val="007977A8"/>
    <w:rsid w:val="007A3C33"/>
    <w:rsid w:val="007B0EAC"/>
    <w:rsid w:val="007B512A"/>
    <w:rsid w:val="007C2097"/>
    <w:rsid w:val="007D6A07"/>
    <w:rsid w:val="007F15E6"/>
    <w:rsid w:val="007F2DAA"/>
    <w:rsid w:val="007F7259"/>
    <w:rsid w:val="008040A8"/>
    <w:rsid w:val="00826995"/>
    <w:rsid w:val="008279FA"/>
    <w:rsid w:val="00837ED1"/>
    <w:rsid w:val="008626E7"/>
    <w:rsid w:val="00870EE7"/>
    <w:rsid w:val="008863B9"/>
    <w:rsid w:val="00886D73"/>
    <w:rsid w:val="008A1014"/>
    <w:rsid w:val="008A45A6"/>
    <w:rsid w:val="008B0E76"/>
    <w:rsid w:val="008C0A7A"/>
    <w:rsid w:val="008C1F34"/>
    <w:rsid w:val="008D3CCC"/>
    <w:rsid w:val="008D58A3"/>
    <w:rsid w:val="008E00ED"/>
    <w:rsid w:val="008F3789"/>
    <w:rsid w:val="008F686C"/>
    <w:rsid w:val="009148DE"/>
    <w:rsid w:val="00941E30"/>
    <w:rsid w:val="009531B0"/>
    <w:rsid w:val="009741B3"/>
    <w:rsid w:val="009777D9"/>
    <w:rsid w:val="009820B3"/>
    <w:rsid w:val="00991B88"/>
    <w:rsid w:val="009A5753"/>
    <w:rsid w:val="009A579D"/>
    <w:rsid w:val="009C7A5E"/>
    <w:rsid w:val="009E3297"/>
    <w:rsid w:val="009F734F"/>
    <w:rsid w:val="00A246B6"/>
    <w:rsid w:val="00A47E70"/>
    <w:rsid w:val="00A50CF0"/>
    <w:rsid w:val="00A7671C"/>
    <w:rsid w:val="00A865D5"/>
    <w:rsid w:val="00AA2CBC"/>
    <w:rsid w:val="00AC05C5"/>
    <w:rsid w:val="00AC0EE9"/>
    <w:rsid w:val="00AC217C"/>
    <w:rsid w:val="00AC5820"/>
    <w:rsid w:val="00AD1CD8"/>
    <w:rsid w:val="00B05B9A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426C2"/>
    <w:rsid w:val="00C5671B"/>
    <w:rsid w:val="00C66BA2"/>
    <w:rsid w:val="00C712FC"/>
    <w:rsid w:val="00C81DD9"/>
    <w:rsid w:val="00C870F6"/>
    <w:rsid w:val="00C87E8D"/>
    <w:rsid w:val="00C94FBF"/>
    <w:rsid w:val="00C95985"/>
    <w:rsid w:val="00CA7D0C"/>
    <w:rsid w:val="00CC1C81"/>
    <w:rsid w:val="00CC5026"/>
    <w:rsid w:val="00CC68D0"/>
    <w:rsid w:val="00CC7947"/>
    <w:rsid w:val="00CE14D1"/>
    <w:rsid w:val="00CE7337"/>
    <w:rsid w:val="00D03F9A"/>
    <w:rsid w:val="00D06D51"/>
    <w:rsid w:val="00D24991"/>
    <w:rsid w:val="00D3633C"/>
    <w:rsid w:val="00D50255"/>
    <w:rsid w:val="00D6175C"/>
    <w:rsid w:val="00D6464B"/>
    <w:rsid w:val="00D65950"/>
    <w:rsid w:val="00D66520"/>
    <w:rsid w:val="00D84AE9"/>
    <w:rsid w:val="00D9124E"/>
    <w:rsid w:val="00DE34CF"/>
    <w:rsid w:val="00E00EAA"/>
    <w:rsid w:val="00E0731F"/>
    <w:rsid w:val="00E13F3D"/>
    <w:rsid w:val="00E33838"/>
    <w:rsid w:val="00E34898"/>
    <w:rsid w:val="00E3717C"/>
    <w:rsid w:val="00E42051"/>
    <w:rsid w:val="00E90300"/>
    <w:rsid w:val="00EB09B7"/>
    <w:rsid w:val="00EB5252"/>
    <w:rsid w:val="00ED7336"/>
    <w:rsid w:val="00EE7D7C"/>
    <w:rsid w:val="00EF7B81"/>
    <w:rsid w:val="00EF7C1E"/>
    <w:rsid w:val="00F06768"/>
    <w:rsid w:val="00F06EF8"/>
    <w:rsid w:val="00F1165E"/>
    <w:rsid w:val="00F25D98"/>
    <w:rsid w:val="00F300FB"/>
    <w:rsid w:val="00F303C5"/>
    <w:rsid w:val="00F47FF8"/>
    <w:rsid w:val="00F963E1"/>
    <w:rsid w:val="00FA00DC"/>
    <w:rsid w:val="00FB4EA6"/>
    <w:rsid w:val="00FB6386"/>
    <w:rsid w:val="00FD5F7A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8E00ED"/>
    <w:pPr>
      <w:ind w:left="720"/>
      <w:contextualSpacing/>
    </w:pPr>
  </w:style>
  <w:style w:type="character" w:customStyle="1" w:styleId="B1Char">
    <w:name w:val="B1 Char"/>
    <w:qFormat/>
    <w:rsid w:val="0037484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RBI5PAMIO524-1616901215-44281</_dlc_DocId>
    <_dlc_DocIdUrl xmlns="71c5aaf6-e6ce-465b-b873-5148d2a4c105">
      <Url>https://nokia.sharepoint.com/sites/gxp/_layouts/15/DocIdRedir.aspx?ID=RBI5PAMIO524-1616901215-44281</Url>
      <Description>RBI5PAMIO524-1616901215-44281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4ED875-BD36-43DB-9C4E-0BDFAA719195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3f2ce089-3858-4176-9a21-a30f9204848e"/>
    <ds:schemaRef ds:uri="http://purl.org/dc/terms/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4385E53-7D07-4EA9-8C03-AF4EED0C88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653</Words>
  <Characters>2973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8</cp:revision>
  <cp:lastPrinted>2411-12-31T15:59:00Z</cp:lastPrinted>
  <dcterms:created xsi:type="dcterms:W3CDTF">2025-03-26T08:13:00Z</dcterms:created>
  <dcterms:modified xsi:type="dcterms:W3CDTF">2025-03-27T04:33:00Z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8d286173-8e60-4275-b7fc-d66f193af069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